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71" w:lineRule="auto"/>
      </w:pPr>
      <w:r>
        <w:rPr/>
        <w:t>MACHINE</w:t>
      </w:r>
      <w:r>
        <w:rPr>
          <w:spacing w:val="-13"/>
        </w:rPr>
        <w:t> </w:t>
      </w:r>
      <w:r>
        <w:rPr/>
        <w:t>LEARNING-BASED</w:t>
      </w:r>
      <w:r>
        <w:rPr>
          <w:spacing w:val="-10"/>
        </w:rPr>
        <w:t> </w:t>
      </w:r>
      <w:r>
        <w:rPr/>
        <w:t>FLOOD</w:t>
      </w:r>
      <w:r>
        <w:rPr>
          <w:spacing w:val="-10"/>
        </w:rPr>
        <w:t> </w:t>
      </w:r>
      <w:r>
        <w:rPr/>
        <w:t>FORECASTING</w:t>
      </w:r>
      <w:r>
        <w:rPr>
          <w:spacing w:val="-20"/>
        </w:rPr>
        <w:t> </w:t>
      </w:r>
      <w:r>
        <w:rPr/>
        <w:t>AND COMMUNITY-CENTRIC EARLY</w:t>
      </w:r>
      <w:r>
        <w:rPr>
          <w:spacing w:val="-14"/>
        </w:rPr>
        <w:t> </w:t>
      </w:r>
      <w:r>
        <w:rPr/>
        <w:t>WARNING SYSTEMS FOR SUSTAINABLE MOUNTAIN REGIONS</w:t>
      </w:r>
    </w:p>
    <w:p>
      <w:pPr>
        <w:pStyle w:val="BodyText"/>
        <w:spacing w:before="85"/>
        <w:rPr>
          <w:b/>
          <w:sz w:val="32"/>
        </w:rPr>
      </w:pPr>
    </w:p>
    <w:p>
      <w:pPr>
        <w:pStyle w:val="Heading2"/>
        <w:spacing w:before="1"/>
      </w:pPr>
      <w:r>
        <w:rPr/>
        <w:t>Anshika </w:t>
      </w:r>
      <w:r>
        <w:rPr>
          <w:spacing w:val="-2"/>
        </w:rPr>
        <w:t>Singh</w:t>
      </w:r>
    </w:p>
    <w:p>
      <w:pPr>
        <w:spacing w:line="292" w:lineRule="auto" w:before="142"/>
        <w:ind w:left="520" w:right="517" w:firstLine="0"/>
        <w:jc w:val="center"/>
        <w:rPr>
          <w:i/>
          <w:sz w:val="22"/>
        </w:rPr>
      </w:pPr>
      <w:r>
        <w:rPr>
          <w:i/>
          <w:sz w:val="22"/>
        </w:rPr>
        <w:t>Department</w:t>
      </w:r>
      <w:r>
        <w:rPr>
          <w:i/>
          <w:spacing w:val="-4"/>
          <w:sz w:val="22"/>
        </w:rPr>
        <w:t> </w:t>
      </w:r>
      <w:r>
        <w:rPr>
          <w:i/>
          <w:sz w:val="22"/>
        </w:rPr>
        <w:t>of</w:t>
      </w:r>
      <w:r>
        <w:rPr>
          <w:i/>
          <w:spacing w:val="-4"/>
          <w:sz w:val="22"/>
        </w:rPr>
        <w:t> </w:t>
      </w:r>
      <w:r>
        <w:rPr>
          <w:i/>
          <w:sz w:val="22"/>
        </w:rPr>
        <w:t>Computer</w:t>
      </w:r>
      <w:r>
        <w:rPr>
          <w:i/>
          <w:spacing w:val="-5"/>
          <w:sz w:val="22"/>
        </w:rPr>
        <w:t> </w:t>
      </w:r>
      <w:r>
        <w:rPr>
          <w:i/>
          <w:sz w:val="22"/>
        </w:rPr>
        <w:t>Science</w:t>
      </w:r>
      <w:r>
        <w:rPr>
          <w:i/>
          <w:spacing w:val="-4"/>
          <w:sz w:val="22"/>
        </w:rPr>
        <w:t> </w:t>
      </w:r>
      <w:r>
        <w:rPr>
          <w:i/>
          <w:sz w:val="22"/>
        </w:rPr>
        <w:t>and</w:t>
      </w:r>
      <w:r>
        <w:rPr>
          <w:i/>
          <w:spacing w:val="-4"/>
          <w:sz w:val="22"/>
        </w:rPr>
        <w:t> </w:t>
      </w:r>
      <w:r>
        <w:rPr>
          <w:i/>
          <w:sz w:val="22"/>
        </w:rPr>
        <w:t>Engineering</w:t>
      </w:r>
      <w:r>
        <w:rPr>
          <w:i/>
          <w:spacing w:val="-4"/>
          <w:sz w:val="22"/>
        </w:rPr>
        <w:t> </w:t>
      </w:r>
      <w:r>
        <w:rPr>
          <w:i/>
          <w:sz w:val="22"/>
        </w:rPr>
        <w:t>(Artificial</w:t>
      </w:r>
      <w:r>
        <w:rPr>
          <w:i/>
          <w:spacing w:val="-4"/>
          <w:sz w:val="22"/>
        </w:rPr>
        <w:t> </w:t>
      </w:r>
      <w:r>
        <w:rPr>
          <w:i/>
          <w:sz w:val="22"/>
        </w:rPr>
        <w:t>Intelligence</w:t>
      </w:r>
      <w:r>
        <w:rPr>
          <w:i/>
          <w:spacing w:val="-4"/>
          <w:sz w:val="22"/>
        </w:rPr>
        <w:t> </w:t>
      </w:r>
      <w:r>
        <w:rPr>
          <w:i/>
          <w:sz w:val="22"/>
        </w:rPr>
        <w:t>and</w:t>
      </w:r>
      <w:r>
        <w:rPr>
          <w:i/>
          <w:spacing w:val="-4"/>
          <w:sz w:val="22"/>
        </w:rPr>
        <w:t> </w:t>
      </w:r>
      <w:r>
        <w:rPr>
          <w:i/>
          <w:sz w:val="22"/>
        </w:rPr>
        <w:t>Machine</w:t>
      </w:r>
      <w:r>
        <w:rPr>
          <w:i/>
          <w:spacing w:val="-4"/>
          <w:sz w:val="22"/>
        </w:rPr>
        <w:t> </w:t>
      </w:r>
      <w:r>
        <w:rPr>
          <w:i/>
          <w:sz w:val="22"/>
        </w:rPr>
        <w:t>Learning) MG Institute of Management and Technology, Banthara, Lucknow</w:t>
      </w:r>
    </w:p>
    <w:p>
      <w:pPr>
        <w:pStyle w:val="BodyText"/>
        <w:rPr>
          <w:i/>
          <w:sz w:val="22"/>
        </w:rPr>
      </w:pPr>
    </w:p>
    <w:p>
      <w:pPr>
        <w:pStyle w:val="BodyText"/>
        <w:spacing w:before="60"/>
        <w:rPr>
          <w:i/>
          <w:sz w:val="22"/>
        </w:rPr>
      </w:pPr>
    </w:p>
    <w:p>
      <w:pPr>
        <w:pStyle w:val="Heading2"/>
        <w:ind w:right="12"/>
      </w:pPr>
      <w:r>
        <w:rPr>
          <w:spacing w:val="11"/>
        </w:rPr>
        <w:t>ABSTRACT</w:t>
      </w:r>
    </w:p>
    <w:p>
      <w:pPr>
        <w:pStyle w:val="BodyText"/>
        <w:spacing w:before="1"/>
        <w:rPr>
          <w:b/>
        </w:rPr>
      </w:pPr>
    </w:p>
    <w:p>
      <w:pPr>
        <w:pStyle w:val="BodyText"/>
        <w:spacing w:line="312" w:lineRule="auto"/>
        <w:ind w:left="141" w:right="135" w:firstLine="720"/>
        <w:jc w:val="both"/>
      </w:pPr>
      <w:r>
        <w:rPr/>
        <w:t>Mountain regions are increasingly vulnerable to flash floods, glacial lake outburst floods, and extreme rainfall events intensified by climate change. Traditional flood forecasting approaches often struggle to provide timely and localized warnings due to complex terrain, sparse monitoring infrastructure, and rapidly changing environmental conditions. This study proposes an integrated framework that combines machine learning-based flood forecasting with community-centric early warning systems to enhance disaster preparedness and resilience in sustainable mountain regions.</w:t>
      </w:r>
    </w:p>
    <w:p>
      <w:pPr>
        <w:pStyle w:val="BodyText"/>
        <w:spacing w:before="91"/>
      </w:pPr>
    </w:p>
    <w:p>
      <w:pPr>
        <w:pStyle w:val="BodyText"/>
        <w:spacing w:line="312" w:lineRule="auto" w:before="1"/>
        <w:ind w:left="141" w:right="128" w:firstLine="720"/>
        <w:jc w:val="both"/>
      </w:pPr>
      <w:r>
        <w:rPr/>
        <w:t>The proposed approach utilizes historical hydrological, meteorological, topographical, and satellite-derived datasets to develop predictive models capable of identifying flood risks with improved</w:t>
      </w:r>
      <w:r>
        <w:rPr>
          <w:spacing w:val="-3"/>
        </w:rPr>
        <w:t> </w:t>
      </w:r>
      <w:r>
        <w:rPr/>
        <w:t>accuracy</w:t>
      </w:r>
      <w:r>
        <w:rPr>
          <w:spacing w:val="-3"/>
        </w:rPr>
        <w:t> </w:t>
      </w:r>
      <w:r>
        <w:rPr/>
        <w:t>and</w:t>
      </w:r>
      <w:r>
        <w:rPr>
          <w:spacing w:val="-3"/>
        </w:rPr>
        <w:t> </w:t>
      </w:r>
      <w:r>
        <w:rPr/>
        <w:t>lead</w:t>
      </w:r>
      <w:r>
        <w:rPr>
          <w:spacing w:val="-3"/>
        </w:rPr>
        <w:t> </w:t>
      </w:r>
      <w:r>
        <w:rPr/>
        <w:t>time.</w:t>
      </w:r>
      <w:r>
        <w:rPr>
          <w:spacing w:val="-3"/>
        </w:rPr>
        <w:t> </w:t>
      </w:r>
      <w:r>
        <w:rPr/>
        <w:t>Advanced</w:t>
      </w:r>
      <w:r>
        <w:rPr>
          <w:spacing w:val="-3"/>
        </w:rPr>
        <w:t> </w:t>
      </w:r>
      <w:r>
        <w:rPr/>
        <w:t>machine</w:t>
      </w:r>
      <w:r>
        <w:rPr>
          <w:spacing w:val="-3"/>
        </w:rPr>
        <w:t> </w:t>
      </w:r>
      <w:r>
        <w:rPr/>
        <w:t>learning</w:t>
      </w:r>
      <w:r>
        <w:rPr>
          <w:spacing w:val="-3"/>
        </w:rPr>
        <w:t> </w:t>
      </w:r>
      <w:r>
        <w:rPr/>
        <w:t>techniques</w:t>
      </w:r>
      <w:r>
        <w:rPr>
          <w:spacing w:val="-3"/>
        </w:rPr>
        <w:t> </w:t>
      </w:r>
      <w:r>
        <w:rPr/>
        <w:t>can</w:t>
      </w:r>
      <w:r>
        <w:rPr>
          <w:spacing w:val="-3"/>
        </w:rPr>
        <w:t> </w:t>
      </w:r>
      <w:r>
        <w:rPr/>
        <w:t>detect</w:t>
      </w:r>
      <w:r>
        <w:rPr>
          <w:spacing w:val="-3"/>
        </w:rPr>
        <w:t> </w:t>
      </w:r>
      <w:r>
        <w:rPr/>
        <w:t>hidden</w:t>
      </w:r>
      <w:r>
        <w:rPr>
          <w:spacing w:val="-3"/>
        </w:rPr>
        <w:t> </w:t>
      </w:r>
      <w:r>
        <w:rPr/>
        <w:t>patterns and nonlinear relationships within environmental data, enabling more reliable forecasts than conventional methods. Beyond technological innovation, the framework emphasizes active community participation through locally accessible warning mechanisms, mobile-based alerts, and awareness-driven response strategies. By bridging artificial intelligence with grassroots</w:t>
      </w:r>
      <w:r>
        <w:rPr>
          <w:spacing w:val="40"/>
        </w:rPr>
        <w:t> </w:t>
      </w:r>
      <w:r>
        <w:rPr/>
        <w:t>engagement, the proposed model aims to reduce disaster losses, strengthen climate resilience, and support sustainable development goals in mountain communities. The study highlights how data-driven decision-making, when combined with inclusive community involvement, can transform disaster risk reduction from a reactive process into a proactive and adaptive system. This research contributes to the growing field of intelligent environmental management and offers a scalable pathway for protecting vulnerable populations in mountainous regions worldwide.</w:t>
      </w:r>
    </w:p>
    <w:p>
      <w:pPr>
        <w:pStyle w:val="BodyText"/>
        <w:spacing w:before="207"/>
      </w:pPr>
    </w:p>
    <w:p>
      <w:pPr>
        <w:pStyle w:val="BodyText"/>
        <w:spacing w:line="292" w:lineRule="auto" w:before="1"/>
        <w:ind w:left="141" w:right="137"/>
        <w:jc w:val="both"/>
      </w:pPr>
      <w:r>
        <w:rPr>
          <w:b/>
          <w:i/>
        </w:rPr>
        <w:t>Keywords: </w:t>
      </w:r>
      <w:r>
        <w:rPr/>
        <w:t>Machine Learning, Flood Forecasting, Disaster Risk Reduction (DRR), Early Warning Systems (EWS), Climate Change Resilience, Glacial Lake Outburst Floods (GLOF), Sustainable Mountain Development, Community-Centric Engagement, Predictive Analytics, Remote Sensing.</w:t>
      </w:r>
    </w:p>
    <w:sectPr>
      <w:footerReference w:type="default" r:id="rId5"/>
      <w:type w:val="continuous"/>
      <w:pgSz w:w="11910" w:h="16840"/>
      <w:pgMar w:header="0" w:footer="619" w:top="1360" w:bottom="800" w:left="992" w:right="992"/>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64288">
              <wp:simplePos x="0" y="0"/>
              <wp:positionH relativeFrom="page">
                <wp:posOffset>6485181</wp:posOffset>
              </wp:positionH>
              <wp:positionV relativeFrom="page">
                <wp:posOffset>10158977</wp:posOffset>
              </wp:positionV>
              <wp:extent cx="367665"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67665" cy="166370"/>
                      </a:xfrm>
                      <a:prstGeom prst="rect">
                        <a:avLst/>
                      </a:prstGeom>
                    </wps:spPr>
                    <wps:txbx>
                      <w:txbxContent>
                        <w:p>
                          <w:pPr>
                            <w:spacing w:before="11"/>
                            <w:ind w:left="20" w:right="0" w:firstLine="0"/>
                            <w:jc w:val="left"/>
                            <w:rPr>
                              <w:sz w:val="20"/>
                            </w:rPr>
                          </w:pPr>
                          <w:r>
                            <w:rPr>
                              <w:color w:val="545454"/>
                              <w:sz w:val="20"/>
                            </w:rPr>
                            <w:t>Page </w:t>
                          </w:r>
                          <w:r>
                            <w:rPr>
                              <w:color w:val="545454"/>
                              <w:spacing w:val="-10"/>
                              <w:sz w:val="20"/>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0.644196pt;margin-top:799.919495pt;width:28.95pt;height:13.1pt;mso-position-horizontal-relative:page;mso-position-vertical-relative:page;z-index:-15752192" type="#_x0000_t202" id="docshape1" filled="false" stroked="false">
              <v:textbox inset="0,0,0,0">
                <w:txbxContent>
                  <w:p>
                    <w:pPr>
                      <w:spacing w:before="11"/>
                      <w:ind w:left="20" w:right="0" w:firstLine="0"/>
                      <w:jc w:val="left"/>
                      <w:rPr>
                        <w:sz w:val="20"/>
                      </w:rPr>
                    </w:pPr>
                    <w:r>
                      <w:rPr>
                        <w:color w:val="545454"/>
                        <w:sz w:val="20"/>
                      </w:rPr>
                      <w:t>Page </w:t>
                    </w:r>
                    <w:r>
                      <w:rPr>
                        <w:color w:val="545454"/>
                        <w:spacing w:val="-10"/>
                        <w:sz w:val="20"/>
                      </w:rPr>
                      <w:t>1</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56"/>
      <w:ind w:left="480" w:right="478"/>
      <w:jc w:val="center"/>
      <w:outlineLvl w:val="1"/>
    </w:pPr>
    <w:rPr>
      <w:rFonts w:ascii="Times New Roman" w:hAnsi="Times New Roman" w:eastAsia="Times New Roman" w:cs="Times New Roman"/>
      <w:b/>
      <w:bCs/>
      <w:sz w:val="32"/>
      <w:szCs w:val="32"/>
      <w:lang w:val="en-US" w:eastAsia="en-US" w:bidi="ar-SA"/>
    </w:rPr>
  </w:style>
  <w:style w:styleId="Heading2" w:type="paragraph">
    <w:name w:val="Heading 2"/>
    <w:basedOn w:val="Normal"/>
    <w:uiPriority w:val="1"/>
    <w:qFormat/>
    <w:pPr>
      <w:ind w:left="-1"/>
      <w:jc w:val="center"/>
      <w:outlineLvl w:val="2"/>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 Machine Learning-Based Flood Forecasting</dc:title>
  <dcterms:created xsi:type="dcterms:W3CDTF">2026-06-09T11:08:32Z</dcterms:created>
  <dcterms:modified xsi:type="dcterms:W3CDTF">2026-06-09T11:08:32Z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2026-06-09T00:00:00Z</vt:filetime>
  </property>
  <property fmtid="{D5CDD505-2E9C-101B-9397-08002B2CF9AE}" pid="4" name="Producer">
    <vt:lpwstr>WeasyPrint 62.3</vt:lpwstr>
  </property>
  <property fmtid="{D5CDD505-2E9C-101B-9397-08002B2CF9AE}" pid="5" name="LastSaved">
    <vt:filetime>2026-06-09T00:00:00Z</vt:filetime>
  </property>
</Properties>
</file>